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A5" w:rsidRDefault="00CA22A5">
      <w:r>
        <w:t>Informacja prasowa                                                      Warszawa, dn. 12.10.2011r.</w:t>
      </w:r>
    </w:p>
    <w:p w:rsidR="00CA22A5" w:rsidRDefault="00CA22A5" w:rsidP="003D4029"/>
    <w:p w:rsidR="00CA22A5" w:rsidRPr="003D4029" w:rsidRDefault="00CA22A5" w:rsidP="003D4029">
      <w:pPr>
        <w:jc w:val="center"/>
        <w:rPr>
          <w:b/>
          <w:bCs/>
        </w:rPr>
      </w:pPr>
      <w:r w:rsidRPr="003D4029">
        <w:rPr>
          <w:b/>
          <w:bCs/>
        </w:rPr>
        <w:t>Dolnośląskie – szpitale powiatowe gorzej traktowane.</w:t>
      </w:r>
    </w:p>
    <w:p w:rsidR="00CA22A5" w:rsidRDefault="00CA22A5" w:rsidP="003D4029">
      <w:pPr>
        <w:jc w:val="center"/>
      </w:pPr>
    </w:p>
    <w:p w:rsidR="00CA22A5" w:rsidRDefault="00CA22A5" w:rsidP="003D4029">
      <w:pPr>
        <w:jc w:val="both"/>
      </w:pPr>
      <w:r>
        <w:t xml:space="preserve">Konsorcjum Dolnośląskich Szpitali Powiatowych złożyło we wrocławskim oddziale NFZ pismo podsumowujące wartość niesfinansowanych świadczeń oraz planów podziału środków na rok 2012. Stanowisko Konsorcjum poparł Konwent Powiatów Województwa Dolnośląskiego wydając oficjalną opinię w tej kwestii – w załączeniu. </w:t>
      </w:r>
    </w:p>
    <w:p w:rsidR="00CA22A5" w:rsidRDefault="00CA22A5" w:rsidP="003D4029">
      <w:pPr>
        <w:jc w:val="both"/>
      </w:pPr>
    </w:p>
    <w:p w:rsidR="00CA22A5" w:rsidRPr="003D4029" w:rsidRDefault="00CA22A5" w:rsidP="003D4029">
      <w:pPr>
        <w:jc w:val="both"/>
        <w:rPr>
          <w:b/>
          <w:bCs/>
        </w:rPr>
      </w:pPr>
      <w:r w:rsidRPr="003D4029">
        <w:rPr>
          <w:b/>
          <w:bCs/>
        </w:rPr>
        <w:t>Stanowisko Konsorcjum Dolnośląskich Szpitali Powiatowych:</w:t>
      </w:r>
    </w:p>
    <w:p w:rsidR="00CA22A5" w:rsidRDefault="00CA22A5" w:rsidP="003D4029">
      <w:pPr>
        <w:spacing w:after="0" w:line="260" w:lineRule="exact"/>
        <w:jc w:val="both"/>
        <w:rPr>
          <w:sz w:val="20"/>
          <w:szCs w:val="20"/>
        </w:rPr>
      </w:pPr>
      <w:r>
        <w:rPr>
          <w:sz w:val="20"/>
          <w:szCs w:val="20"/>
        </w:rPr>
        <w:t xml:space="preserve">W wyniku przeprowadzonej analizy rozliczenia świadczeń medycznych w ramach umów Członków </w:t>
      </w:r>
      <w:r w:rsidRPr="00B601CE">
        <w:rPr>
          <w:sz w:val="20"/>
          <w:szCs w:val="20"/>
        </w:rPr>
        <w:t xml:space="preserve">Konsorcjum Dolnośląskich Szpitali Powiatowych </w:t>
      </w:r>
      <w:r>
        <w:rPr>
          <w:sz w:val="20"/>
          <w:szCs w:val="20"/>
        </w:rPr>
        <w:t xml:space="preserve">zawartych z NFZ za lata 2009, 2010 oraz od stycznia do sierpnia 2011 roku i porównania ich z rzeczywiście wykonanymi świadczeniami w naszych szpitalach stwierdzamy, że wartość świadczeń niesfinansowanych do chwili obecnej wynosi: </w:t>
      </w:r>
    </w:p>
    <w:p w:rsidR="00CA22A5" w:rsidRDefault="00CA22A5" w:rsidP="003D4029">
      <w:pPr>
        <w:tabs>
          <w:tab w:val="left" w:pos="567"/>
          <w:tab w:val="right" w:pos="3402"/>
          <w:tab w:val="right" w:pos="5103"/>
        </w:tabs>
        <w:spacing w:after="0" w:line="260" w:lineRule="exact"/>
        <w:jc w:val="both"/>
        <w:rPr>
          <w:sz w:val="20"/>
          <w:szCs w:val="20"/>
        </w:rPr>
      </w:pPr>
      <w:r>
        <w:rPr>
          <w:sz w:val="20"/>
          <w:szCs w:val="20"/>
        </w:rPr>
        <w:tab/>
        <w:t xml:space="preserve">w roku 2009 </w:t>
      </w:r>
      <w:r>
        <w:rPr>
          <w:sz w:val="20"/>
          <w:szCs w:val="20"/>
        </w:rPr>
        <w:tab/>
        <w:t xml:space="preserve">– </w:t>
      </w:r>
      <w:r>
        <w:rPr>
          <w:sz w:val="20"/>
          <w:szCs w:val="20"/>
        </w:rPr>
        <w:tab/>
      </w:r>
      <w:r w:rsidRPr="00BC49BA">
        <w:rPr>
          <w:sz w:val="20"/>
          <w:szCs w:val="20"/>
        </w:rPr>
        <w:t>4</w:t>
      </w:r>
      <w:r>
        <w:rPr>
          <w:sz w:val="20"/>
          <w:szCs w:val="20"/>
        </w:rPr>
        <w:t> </w:t>
      </w:r>
      <w:r w:rsidRPr="00BC49BA">
        <w:rPr>
          <w:sz w:val="20"/>
          <w:szCs w:val="20"/>
        </w:rPr>
        <w:t>841</w:t>
      </w:r>
      <w:r>
        <w:rPr>
          <w:sz w:val="20"/>
          <w:szCs w:val="20"/>
        </w:rPr>
        <w:t xml:space="preserve"> 000 zł </w:t>
      </w:r>
    </w:p>
    <w:p w:rsidR="00CA22A5" w:rsidRDefault="00CA22A5" w:rsidP="003D4029">
      <w:pPr>
        <w:tabs>
          <w:tab w:val="left" w:pos="567"/>
          <w:tab w:val="right" w:pos="3402"/>
          <w:tab w:val="right" w:pos="5103"/>
        </w:tabs>
        <w:spacing w:after="0" w:line="260" w:lineRule="exact"/>
        <w:jc w:val="both"/>
        <w:rPr>
          <w:sz w:val="20"/>
          <w:szCs w:val="20"/>
        </w:rPr>
      </w:pPr>
      <w:r>
        <w:rPr>
          <w:sz w:val="20"/>
          <w:szCs w:val="20"/>
        </w:rPr>
        <w:tab/>
        <w:t xml:space="preserve">w roku 2010 </w:t>
      </w:r>
      <w:r>
        <w:rPr>
          <w:sz w:val="20"/>
          <w:szCs w:val="20"/>
        </w:rPr>
        <w:tab/>
        <w:t xml:space="preserve">– </w:t>
      </w:r>
      <w:r>
        <w:rPr>
          <w:sz w:val="20"/>
          <w:szCs w:val="20"/>
        </w:rPr>
        <w:tab/>
      </w:r>
      <w:r w:rsidRPr="00BC49BA">
        <w:rPr>
          <w:sz w:val="20"/>
          <w:szCs w:val="20"/>
        </w:rPr>
        <w:t>18</w:t>
      </w:r>
      <w:r>
        <w:rPr>
          <w:sz w:val="20"/>
          <w:szCs w:val="20"/>
        </w:rPr>
        <w:t> </w:t>
      </w:r>
      <w:r w:rsidRPr="00BC49BA">
        <w:rPr>
          <w:sz w:val="20"/>
          <w:szCs w:val="20"/>
        </w:rPr>
        <w:t>679</w:t>
      </w:r>
      <w:r>
        <w:rPr>
          <w:sz w:val="20"/>
          <w:szCs w:val="20"/>
        </w:rPr>
        <w:t xml:space="preserve"> 000 zł </w:t>
      </w:r>
    </w:p>
    <w:p w:rsidR="00CA22A5" w:rsidRDefault="00CA22A5" w:rsidP="003D4029">
      <w:pPr>
        <w:tabs>
          <w:tab w:val="left" w:pos="567"/>
          <w:tab w:val="right" w:pos="3402"/>
          <w:tab w:val="right" w:pos="5103"/>
        </w:tabs>
        <w:spacing w:after="0" w:line="260" w:lineRule="exact"/>
        <w:jc w:val="both"/>
        <w:rPr>
          <w:sz w:val="20"/>
          <w:szCs w:val="20"/>
        </w:rPr>
      </w:pPr>
      <w:r>
        <w:rPr>
          <w:sz w:val="20"/>
          <w:szCs w:val="20"/>
        </w:rPr>
        <w:tab/>
        <w:t xml:space="preserve">do sierpnia 2011 </w:t>
      </w:r>
      <w:r>
        <w:rPr>
          <w:sz w:val="20"/>
          <w:szCs w:val="20"/>
        </w:rPr>
        <w:tab/>
        <w:t xml:space="preserve">– </w:t>
      </w:r>
      <w:r>
        <w:rPr>
          <w:sz w:val="20"/>
          <w:szCs w:val="20"/>
        </w:rPr>
        <w:tab/>
      </w:r>
      <w:r w:rsidRPr="00BC49BA">
        <w:rPr>
          <w:sz w:val="20"/>
          <w:szCs w:val="20"/>
        </w:rPr>
        <w:t>20</w:t>
      </w:r>
      <w:r>
        <w:rPr>
          <w:sz w:val="20"/>
          <w:szCs w:val="20"/>
        </w:rPr>
        <w:t> </w:t>
      </w:r>
      <w:r w:rsidRPr="00BC49BA">
        <w:rPr>
          <w:sz w:val="20"/>
          <w:szCs w:val="20"/>
        </w:rPr>
        <w:t>757</w:t>
      </w:r>
      <w:r>
        <w:rPr>
          <w:sz w:val="20"/>
          <w:szCs w:val="20"/>
        </w:rPr>
        <w:t> 000 zł</w:t>
      </w:r>
    </w:p>
    <w:p w:rsidR="00CA22A5" w:rsidRDefault="00CA22A5" w:rsidP="003D4029">
      <w:pPr>
        <w:spacing w:line="260" w:lineRule="exact"/>
        <w:jc w:val="both"/>
        <w:rPr>
          <w:sz w:val="20"/>
          <w:szCs w:val="20"/>
        </w:rPr>
      </w:pPr>
      <w:r>
        <w:rPr>
          <w:sz w:val="20"/>
          <w:szCs w:val="20"/>
        </w:rPr>
        <w:t xml:space="preserve">Powyższe oznacza, że narastająco ogólna wartość niesfinansowanych świadczeń medycznych wynosi ponad </w:t>
      </w:r>
      <w:r w:rsidRPr="004B0E38">
        <w:rPr>
          <w:sz w:val="20"/>
          <w:szCs w:val="20"/>
        </w:rPr>
        <w:t>44</w:t>
      </w:r>
      <w:r>
        <w:rPr>
          <w:sz w:val="20"/>
          <w:szCs w:val="20"/>
        </w:rPr>
        <w:t> </w:t>
      </w:r>
      <w:r w:rsidRPr="004B0E38">
        <w:rPr>
          <w:sz w:val="20"/>
          <w:szCs w:val="20"/>
        </w:rPr>
        <w:t>27</w:t>
      </w:r>
      <w:r>
        <w:rPr>
          <w:sz w:val="20"/>
          <w:szCs w:val="20"/>
        </w:rPr>
        <w:t xml:space="preserve">7 000 zł. </w:t>
      </w:r>
    </w:p>
    <w:p w:rsidR="00CA22A5" w:rsidRPr="004B0E38" w:rsidRDefault="00CA22A5" w:rsidP="003D4029">
      <w:pPr>
        <w:spacing w:after="0" w:line="260" w:lineRule="exact"/>
        <w:jc w:val="both"/>
        <w:rPr>
          <w:sz w:val="20"/>
          <w:szCs w:val="20"/>
        </w:rPr>
      </w:pPr>
      <w:r>
        <w:rPr>
          <w:sz w:val="20"/>
          <w:szCs w:val="20"/>
        </w:rPr>
        <w:t xml:space="preserve">W połowie br. dokonaliśmy retrospektywnego przeglądu umów zawieranych przez DOWNFZ ze świadczeniodawcami wykonującymi świadczenia medyczne w rodzaju lecznictwa zamkniętego. W poniższym zestawieniu świadczeniodawcy zostali podzieleni wg ich organów tworzących. </w:t>
      </w:r>
    </w:p>
    <w:tbl>
      <w:tblPr>
        <w:tblpPr w:leftFromText="141" w:rightFromText="141" w:vertAnchor="text" w:horzAnchor="margin" w:tblpXSpec="center" w:tblpY="307"/>
        <w:tblW w:w="0" w:type="auto"/>
        <w:tblCellMar>
          <w:left w:w="0" w:type="dxa"/>
          <w:right w:w="0" w:type="dxa"/>
        </w:tblCellMar>
        <w:tblLook w:val="0000"/>
      </w:tblPr>
      <w:tblGrid>
        <w:gridCol w:w="1257"/>
        <w:gridCol w:w="1168"/>
        <w:gridCol w:w="1240"/>
        <w:gridCol w:w="930"/>
        <w:gridCol w:w="1240"/>
        <w:gridCol w:w="1085"/>
        <w:gridCol w:w="1240"/>
      </w:tblGrid>
      <w:tr w:rsidR="00CA22A5" w:rsidRPr="00204824">
        <w:trPr>
          <w:trHeight w:val="634"/>
        </w:trPr>
        <w:tc>
          <w:tcPr>
            <w:tcW w:w="1257"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center"/>
              <w:rPr>
                <w:b/>
                <w:bCs/>
                <w:sz w:val="16"/>
                <w:szCs w:val="16"/>
              </w:rPr>
            </w:pPr>
            <w:r w:rsidRPr="00204824">
              <w:rPr>
                <w:b/>
                <w:bCs/>
                <w:sz w:val="16"/>
                <w:szCs w:val="16"/>
              </w:rPr>
              <w:t>NAZWA</w:t>
            </w:r>
          </w:p>
        </w:tc>
        <w:tc>
          <w:tcPr>
            <w:tcW w:w="1168"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center"/>
              <w:rPr>
                <w:b/>
                <w:bCs/>
                <w:sz w:val="16"/>
                <w:szCs w:val="16"/>
              </w:rPr>
            </w:pPr>
            <w:r w:rsidRPr="00204824">
              <w:rPr>
                <w:b/>
                <w:bCs/>
                <w:sz w:val="16"/>
                <w:szCs w:val="16"/>
              </w:rPr>
              <w:t>2009</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center"/>
              <w:rPr>
                <w:b/>
                <w:bCs/>
                <w:sz w:val="16"/>
                <w:szCs w:val="16"/>
              </w:rPr>
            </w:pPr>
            <w:r w:rsidRPr="00204824">
              <w:rPr>
                <w:b/>
                <w:bCs/>
                <w:sz w:val="16"/>
                <w:szCs w:val="16"/>
              </w:rPr>
              <w:t>2010</w:t>
            </w:r>
          </w:p>
        </w:tc>
        <w:tc>
          <w:tcPr>
            <w:tcW w:w="93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center"/>
              <w:rPr>
                <w:b/>
                <w:bCs/>
                <w:sz w:val="16"/>
                <w:szCs w:val="16"/>
              </w:rPr>
            </w:pPr>
            <w:r w:rsidRPr="00204824">
              <w:rPr>
                <w:b/>
                <w:bCs/>
                <w:sz w:val="16"/>
                <w:szCs w:val="16"/>
              </w:rPr>
              <w:t>-SPADEK</w:t>
            </w:r>
          </w:p>
          <w:p w:rsidR="00CA22A5" w:rsidRPr="00204824" w:rsidRDefault="00CA22A5" w:rsidP="00547C71">
            <w:pPr>
              <w:spacing w:after="0" w:line="240" w:lineRule="auto"/>
              <w:jc w:val="center"/>
              <w:rPr>
                <w:b/>
                <w:bCs/>
                <w:sz w:val="16"/>
                <w:szCs w:val="16"/>
              </w:rPr>
            </w:pPr>
            <w:r w:rsidRPr="00204824">
              <w:rPr>
                <w:b/>
                <w:bCs/>
                <w:sz w:val="16"/>
                <w:szCs w:val="16"/>
              </w:rPr>
              <w:t>+ WZROST</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center"/>
              <w:rPr>
                <w:b/>
                <w:bCs/>
                <w:sz w:val="16"/>
                <w:szCs w:val="16"/>
              </w:rPr>
            </w:pPr>
            <w:r w:rsidRPr="00204824">
              <w:rPr>
                <w:b/>
                <w:bCs/>
                <w:sz w:val="16"/>
                <w:szCs w:val="16"/>
              </w:rPr>
              <w:t>2011</w:t>
            </w:r>
          </w:p>
        </w:tc>
        <w:tc>
          <w:tcPr>
            <w:tcW w:w="1085"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center"/>
              <w:rPr>
                <w:b/>
                <w:bCs/>
                <w:sz w:val="16"/>
                <w:szCs w:val="16"/>
              </w:rPr>
            </w:pPr>
            <w:r w:rsidRPr="00204824">
              <w:rPr>
                <w:b/>
                <w:bCs/>
                <w:sz w:val="16"/>
                <w:szCs w:val="16"/>
              </w:rPr>
              <w:t>SPADEK</w:t>
            </w:r>
          </w:p>
          <w:p w:rsidR="00CA22A5" w:rsidRPr="00204824" w:rsidRDefault="00CA22A5" w:rsidP="00547C71">
            <w:pPr>
              <w:spacing w:after="0" w:line="240" w:lineRule="auto"/>
              <w:jc w:val="center"/>
              <w:rPr>
                <w:b/>
                <w:bCs/>
                <w:sz w:val="16"/>
                <w:szCs w:val="16"/>
              </w:rPr>
            </w:pPr>
            <w:r w:rsidRPr="00204824">
              <w:rPr>
                <w:b/>
                <w:bCs/>
                <w:sz w:val="16"/>
                <w:szCs w:val="16"/>
              </w:rPr>
              <w:t>+ WZROST</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center"/>
              <w:rPr>
                <w:b/>
                <w:bCs/>
                <w:sz w:val="16"/>
                <w:szCs w:val="16"/>
              </w:rPr>
            </w:pPr>
            <w:r w:rsidRPr="00204824">
              <w:rPr>
                <w:b/>
                <w:bCs/>
                <w:sz w:val="16"/>
                <w:szCs w:val="16"/>
              </w:rPr>
              <w:t>SPADEK</w:t>
            </w:r>
          </w:p>
          <w:p w:rsidR="00CA22A5" w:rsidRPr="00204824" w:rsidRDefault="00CA22A5" w:rsidP="00547C71">
            <w:pPr>
              <w:spacing w:after="0" w:line="240" w:lineRule="auto"/>
              <w:jc w:val="center"/>
              <w:rPr>
                <w:b/>
                <w:bCs/>
                <w:sz w:val="16"/>
                <w:szCs w:val="16"/>
              </w:rPr>
            </w:pPr>
            <w:r w:rsidRPr="00204824">
              <w:rPr>
                <w:b/>
                <w:bCs/>
                <w:sz w:val="16"/>
                <w:szCs w:val="16"/>
              </w:rPr>
              <w:t>+ WZROST</w:t>
            </w:r>
          </w:p>
          <w:p w:rsidR="00CA22A5" w:rsidRPr="00204824" w:rsidRDefault="00CA22A5" w:rsidP="00547C71">
            <w:pPr>
              <w:spacing w:after="0" w:line="240" w:lineRule="auto"/>
              <w:jc w:val="center"/>
              <w:rPr>
                <w:b/>
                <w:bCs/>
                <w:sz w:val="16"/>
                <w:szCs w:val="16"/>
              </w:rPr>
            </w:pPr>
            <w:r w:rsidRPr="00204824">
              <w:rPr>
                <w:b/>
                <w:bCs/>
                <w:sz w:val="16"/>
                <w:szCs w:val="16"/>
              </w:rPr>
              <w:t>2011 DO 2009</w:t>
            </w:r>
          </w:p>
        </w:tc>
      </w:tr>
      <w:tr w:rsidR="00CA22A5" w:rsidRPr="00204824">
        <w:trPr>
          <w:trHeight w:val="205"/>
        </w:trPr>
        <w:tc>
          <w:tcPr>
            <w:tcW w:w="1257"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both"/>
              <w:rPr>
                <w:sz w:val="16"/>
                <w:szCs w:val="16"/>
              </w:rPr>
            </w:pPr>
            <w:r w:rsidRPr="00204824">
              <w:rPr>
                <w:sz w:val="16"/>
                <w:szCs w:val="16"/>
              </w:rPr>
              <w:t>Ministerialne</w:t>
            </w:r>
          </w:p>
        </w:tc>
        <w:tc>
          <w:tcPr>
            <w:tcW w:w="1168"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508 681 153</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537 341 737</w:t>
            </w:r>
          </w:p>
        </w:tc>
        <w:tc>
          <w:tcPr>
            <w:tcW w:w="93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28 660 583</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515 169 037</w:t>
            </w:r>
          </w:p>
        </w:tc>
        <w:tc>
          <w:tcPr>
            <w:tcW w:w="1085"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-22 172 700</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6 487 884</w:t>
            </w:r>
          </w:p>
        </w:tc>
      </w:tr>
      <w:tr w:rsidR="00CA22A5" w:rsidRPr="00204824">
        <w:trPr>
          <w:trHeight w:val="215"/>
        </w:trPr>
        <w:tc>
          <w:tcPr>
            <w:tcW w:w="1257"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both"/>
              <w:rPr>
                <w:sz w:val="16"/>
                <w:szCs w:val="16"/>
              </w:rPr>
            </w:pPr>
            <w:r w:rsidRPr="00204824">
              <w:rPr>
                <w:sz w:val="16"/>
                <w:szCs w:val="16"/>
              </w:rPr>
              <w:t>Marszałkowskie</w:t>
            </w:r>
          </w:p>
        </w:tc>
        <w:tc>
          <w:tcPr>
            <w:tcW w:w="1168"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1 015 070 608</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1 027 309 139</w:t>
            </w:r>
          </w:p>
        </w:tc>
        <w:tc>
          <w:tcPr>
            <w:tcW w:w="93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12 238 531</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994 843 414</w:t>
            </w:r>
          </w:p>
        </w:tc>
        <w:tc>
          <w:tcPr>
            <w:tcW w:w="1085"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-32 465 725</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-20 227 194</w:t>
            </w:r>
          </w:p>
        </w:tc>
      </w:tr>
      <w:tr w:rsidR="00CA22A5" w:rsidRPr="00204824">
        <w:trPr>
          <w:trHeight w:val="205"/>
        </w:trPr>
        <w:tc>
          <w:tcPr>
            <w:tcW w:w="1257"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both"/>
              <w:rPr>
                <w:b/>
                <w:bCs/>
                <w:sz w:val="16"/>
                <w:szCs w:val="16"/>
              </w:rPr>
            </w:pPr>
            <w:r w:rsidRPr="00204824">
              <w:rPr>
                <w:b/>
                <w:bCs/>
                <w:sz w:val="16"/>
                <w:szCs w:val="16"/>
              </w:rPr>
              <w:t>Powiatowe</w:t>
            </w:r>
          </w:p>
        </w:tc>
        <w:tc>
          <w:tcPr>
            <w:tcW w:w="1168"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b/>
                <w:bCs/>
                <w:sz w:val="16"/>
                <w:szCs w:val="16"/>
              </w:rPr>
            </w:pPr>
            <w:r w:rsidRPr="00204824">
              <w:rPr>
                <w:b/>
                <w:bCs/>
                <w:sz w:val="16"/>
                <w:szCs w:val="16"/>
              </w:rPr>
              <w:t>753 416 432</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b/>
                <w:bCs/>
                <w:sz w:val="16"/>
                <w:szCs w:val="16"/>
              </w:rPr>
            </w:pPr>
            <w:r w:rsidRPr="00204824">
              <w:rPr>
                <w:b/>
                <w:bCs/>
                <w:sz w:val="16"/>
                <w:szCs w:val="16"/>
              </w:rPr>
              <w:t>736 424 004</w:t>
            </w:r>
          </w:p>
        </w:tc>
        <w:tc>
          <w:tcPr>
            <w:tcW w:w="93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b/>
                <w:bCs/>
                <w:sz w:val="16"/>
                <w:szCs w:val="16"/>
              </w:rPr>
            </w:pPr>
            <w:r w:rsidRPr="00204824">
              <w:rPr>
                <w:b/>
                <w:bCs/>
                <w:sz w:val="16"/>
                <w:szCs w:val="16"/>
              </w:rPr>
              <w:t>-16 992 428</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b/>
                <w:bCs/>
                <w:sz w:val="16"/>
                <w:szCs w:val="16"/>
              </w:rPr>
            </w:pPr>
            <w:r w:rsidRPr="00204824">
              <w:rPr>
                <w:b/>
                <w:bCs/>
                <w:sz w:val="16"/>
                <w:szCs w:val="16"/>
              </w:rPr>
              <w:t>688 194 472</w:t>
            </w:r>
          </w:p>
        </w:tc>
        <w:tc>
          <w:tcPr>
            <w:tcW w:w="1085"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b/>
                <w:bCs/>
                <w:sz w:val="16"/>
                <w:szCs w:val="16"/>
              </w:rPr>
            </w:pPr>
            <w:r w:rsidRPr="00204824">
              <w:rPr>
                <w:b/>
                <w:bCs/>
                <w:sz w:val="16"/>
                <w:szCs w:val="16"/>
              </w:rPr>
              <w:t>-48 229 532</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b/>
                <w:bCs/>
                <w:sz w:val="16"/>
                <w:szCs w:val="16"/>
              </w:rPr>
            </w:pPr>
            <w:r w:rsidRPr="00204824">
              <w:rPr>
                <w:b/>
                <w:bCs/>
                <w:sz w:val="16"/>
                <w:szCs w:val="16"/>
              </w:rPr>
              <w:t>-65 221 960</w:t>
            </w:r>
          </w:p>
        </w:tc>
      </w:tr>
      <w:tr w:rsidR="00CA22A5" w:rsidRPr="00204824">
        <w:trPr>
          <w:trHeight w:val="184"/>
        </w:trPr>
        <w:tc>
          <w:tcPr>
            <w:tcW w:w="1257"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both"/>
              <w:rPr>
                <w:sz w:val="14"/>
                <w:szCs w:val="14"/>
              </w:rPr>
            </w:pPr>
            <w:r w:rsidRPr="00204824">
              <w:rPr>
                <w:sz w:val="14"/>
                <w:szCs w:val="14"/>
              </w:rPr>
              <w:t>Szpitale KDSP</w:t>
            </w:r>
          </w:p>
        </w:tc>
        <w:tc>
          <w:tcPr>
            <w:tcW w:w="1168"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437 885 082</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423 103 855</w:t>
            </w:r>
          </w:p>
        </w:tc>
        <w:tc>
          <w:tcPr>
            <w:tcW w:w="93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-14 781 227</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402 351 144</w:t>
            </w:r>
          </w:p>
        </w:tc>
        <w:tc>
          <w:tcPr>
            <w:tcW w:w="1085"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-20 752 711</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-35 533 938</w:t>
            </w:r>
          </w:p>
        </w:tc>
      </w:tr>
      <w:tr w:rsidR="00CA22A5" w:rsidRPr="00204824">
        <w:trPr>
          <w:trHeight w:val="184"/>
        </w:trPr>
        <w:tc>
          <w:tcPr>
            <w:tcW w:w="1257"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both"/>
              <w:rPr>
                <w:sz w:val="14"/>
                <w:szCs w:val="14"/>
              </w:rPr>
            </w:pPr>
            <w:r w:rsidRPr="00204824">
              <w:rPr>
                <w:sz w:val="14"/>
                <w:szCs w:val="14"/>
              </w:rPr>
              <w:t>Pozostałe szpitale</w:t>
            </w:r>
          </w:p>
        </w:tc>
        <w:tc>
          <w:tcPr>
            <w:tcW w:w="1168"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315 531 349</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313 320 149</w:t>
            </w:r>
          </w:p>
        </w:tc>
        <w:tc>
          <w:tcPr>
            <w:tcW w:w="93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-2 211 201</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285 843 327</w:t>
            </w:r>
          </w:p>
        </w:tc>
        <w:tc>
          <w:tcPr>
            <w:tcW w:w="1085"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-27 476 821</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4"/>
                <w:szCs w:val="14"/>
              </w:rPr>
            </w:pPr>
            <w:r w:rsidRPr="00204824">
              <w:rPr>
                <w:sz w:val="14"/>
                <w:szCs w:val="14"/>
              </w:rPr>
              <w:t>-29 688 022</w:t>
            </w:r>
          </w:p>
        </w:tc>
      </w:tr>
      <w:tr w:rsidR="00CA22A5" w:rsidRPr="00204824">
        <w:trPr>
          <w:trHeight w:val="205"/>
        </w:trPr>
        <w:tc>
          <w:tcPr>
            <w:tcW w:w="1257"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both"/>
              <w:rPr>
                <w:sz w:val="16"/>
                <w:szCs w:val="16"/>
              </w:rPr>
            </w:pPr>
            <w:r w:rsidRPr="00204824">
              <w:rPr>
                <w:sz w:val="16"/>
                <w:szCs w:val="16"/>
              </w:rPr>
              <w:t>Ogółem</w:t>
            </w:r>
          </w:p>
        </w:tc>
        <w:tc>
          <w:tcPr>
            <w:tcW w:w="1168"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2 277 168 193</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2 301 074 880</w:t>
            </w:r>
          </w:p>
        </w:tc>
        <w:tc>
          <w:tcPr>
            <w:tcW w:w="93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23 906 687</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2 198 206 923</w:t>
            </w:r>
          </w:p>
        </w:tc>
        <w:tc>
          <w:tcPr>
            <w:tcW w:w="1085"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-102 867 957</w:t>
            </w:r>
          </w:p>
        </w:tc>
        <w:tc>
          <w:tcPr>
            <w:tcW w:w="1240" w:type="dxa"/>
            <w:tcBorders>
              <w:top w:val="single" w:sz="4" w:space="0" w:color="000000"/>
              <w:left w:val="single" w:sz="4" w:space="0" w:color="000000"/>
              <w:bottom w:val="single" w:sz="4" w:space="0" w:color="000000"/>
              <w:right w:val="single" w:sz="4" w:space="0" w:color="000000"/>
            </w:tcBorders>
            <w:shd w:val="clear" w:color="auto" w:fill="F7FCFF"/>
            <w:tcMar>
              <w:top w:w="15" w:type="dxa"/>
              <w:left w:w="15" w:type="dxa"/>
              <w:bottom w:w="0" w:type="dxa"/>
              <w:right w:w="15" w:type="dxa"/>
            </w:tcMar>
            <w:vAlign w:val="center"/>
          </w:tcPr>
          <w:p w:rsidR="00CA22A5" w:rsidRPr="00204824" w:rsidRDefault="00CA22A5" w:rsidP="00547C71">
            <w:pPr>
              <w:spacing w:after="0" w:line="240" w:lineRule="auto"/>
              <w:jc w:val="right"/>
              <w:rPr>
                <w:sz w:val="16"/>
                <w:szCs w:val="16"/>
              </w:rPr>
            </w:pPr>
            <w:r w:rsidRPr="00204824">
              <w:rPr>
                <w:sz w:val="16"/>
                <w:szCs w:val="16"/>
              </w:rPr>
              <w:t>-78 961 270</w:t>
            </w:r>
          </w:p>
        </w:tc>
      </w:tr>
    </w:tbl>
    <w:p w:rsidR="00CA22A5" w:rsidRPr="00B601CE" w:rsidRDefault="00CA22A5" w:rsidP="003D4029">
      <w:pPr>
        <w:jc w:val="both"/>
        <w:rPr>
          <w:sz w:val="20"/>
          <w:szCs w:val="20"/>
        </w:rPr>
      </w:pPr>
    </w:p>
    <w:p w:rsidR="00CA22A5" w:rsidRDefault="00CA22A5" w:rsidP="003D4029">
      <w:pPr>
        <w:spacing w:after="0" w:line="260" w:lineRule="exact"/>
        <w:jc w:val="both"/>
        <w:rPr>
          <w:sz w:val="20"/>
          <w:szCs w:val="20"/>
        </w:rPr>
      </w:pPr>
      <w:r>
        <w:rPr>
          <w:sz w:val="20"/>
          <w:szCs w:val="20"/>
        </w:rPr>
        <w:t xml:space="preserve">Zwracamy uwagę na fakt ogólnego zmniejszenia wartości finansowania świadczeń o ponad 78 mln zł, a dalej na fakt, że największy udział w tym spadku mają szpitale powiatowe, których kontrakty w 2011 roku w relacji do roku 2009 zmniejszyły się o ponad 65 mln zł. Mając na uwadze te dwa bardzo niekorzystne dla naszych szpitali fakty, z dużym niepokojem przyjmujemy informacje jakie otrzymaliśmy ze strony Dyrekcji DOWNFZ, w sprawie planu wykupu świadczeń medycznych na rok 2012. Co prawda zapowiadany jest wzrost wartości punktu w lecznictwie zamkniętym do 52 zł oraz to, że zasadą przy określaniu wartości postępowań konkursowych ma być utrzymanie dostępności do świadczeń, to jednak zapowiadany priorytet, jaki przyjęto w sprawie zwiększenia finansowania w takich zakresach jak onkologia i neurochirurgia, w sposób ewidentny, negatywnie, najbardziej odczują szpitale powiatowe. Mamy podstawy sądzić, że przesunięcie środków odbędzie kosztem zakresów podstawowych, które stanowią zasadniczy element naszych umów. </w:t>
      </w:r>
    </w:p>
    <w:p w:rsidR="00CA22A5" w:rsidRDefault="00CA22A5" w:rsidP="003D4029">
      <w:pPr>
        <w:keepNext/>
        <w:spacing w:after="0" w:line="260" w:lineRule="exact"/>
        <w:jc w:val="both"/>
        <w:rPr>
          <w:sz w:val="20"/>
          <w:szCs w:val="20"/>
        </w:rPr>
      </w:pPr>
      <w:r>
        <w:rPr>
          <w:sz w:val="20"/>
          <w:szCs w:val="20"/>
        </w:rPr>
        <w:t xml:space="preserve">              </w:t>
      </w:r>
    </w:p>
    <w:p w:rsidR="00CA22A5" w:rsidRDefault="00CA22A5" w:rsidP="003D4029">
      <w:pPr>
        <w:keepNext/>
        <w:spacing w:after="0" w:line="260" w:lineRule="exact"/>
        <w:jc w:val="both"/>
        <w:rPr>
          <w:sz w:val="20"/>
          <w:szCs w:val="20"/>
        </w:rPr>
      </w:pPr>
    </w:p>
    <w:p w:rsidR="00CA22A5" w:rsidRDefault="00CA22A5" w:rsidP="003D4029">
      <w:pPr>
        <w:keepNext/>
        <w:spacing w:after="0" w:line="260" w:lineRule="exact"/>
        <w:jc w:val="both"/>
        <w:rPr>
          <w:sz w:val="20"/>
          <w:szCs w:val="20"/>
        </w:rPr>
      </w:pPr>
    </w:p>
    <w:p w:rsidR="00CA22A5" w:rsidRDefault="00CA22A5" w:rsidP="003D4029">
      <w:pPr>
        <w:keepNext/>
        <w:spacing w:after="0" w:line="260" w:lineRule="exact"/>
        <w:jc w:val="both"/>
        <w:rPr>
          <w:sz w:val="20"/>
          <w:szCs w:val="20"/>
        </w:rPr>
      </w:pPr>
      <w:r>
        <w:rPr>
          <w:sz w:val="20"/>
          <w:szCs w:val="20"/>
        </w:rPr>
        <w:t>Do wszystkich powyżej przedstawionych argumentów dodać należy niebezpieczny trend dotyczący wzrostu kosztów funkcjonowania świadczeń, które przy planowanym poziomie inflacji na rok 2012 (do końca roku 2011  wyniesie ona ok. 4,5%) w sposób istotny utrwali katastrofalny spadek rentowności naszych szpitali i zwiększy i tak duże ich zadłużenie.</w:t>
      </w:r>
    </w:p>
    <w:p w:rsidR="00CA22A5" w:rsidRDefault="00CA22A5" w:rsidP="003D4029">
      <w:pPr>
        <w:keepNext/>
        <w:spacing w:after="0" w:line="260" w:lineRule="exact"/>
        <w:jc w:val="both"/>
        <w:rPr>
          <w:sz w:val="20"/>
          <w:szCs w:val="20"/>
        </w:rPr>
      </w:pPr>
      <w:r>
        <w:rPr>
          <w:sz w:val="20"/>
          <w:szCs w:val="20"/>
        </w:rPr>
        <w:tab/>
        <w:t>Oczekujemy, że przedstawione powyżej stanowisko spowoduje dokonanie ponownej analizy środków finansowych przeznaczonych na wykup usług medycznych na rok 2012 i będzie ona podstawą do adekwatnego podziału środków finansowych (ok. 8%, proporcjonalnego do wzrostu budżetu DOW NFZ), uwzględniającego role i zadania wszystkich dolnośląskich szpitali powiatowych oraz znaczące niedoszacowanie ich umów w ostatnich trzech latach.</w:t>
      </w:r>
    </w:p>
    <w:p w:rsidR="00CA22A5" w:rsidRPr="00B601CE" w:rsidRDefault="00CA22A5" w:rsidP="003D4029">
      <w:pPr>
        <w:keepNext/>
        <w:spacing w:after="0" w:line="260" w:lineRule="exact"/>
        <w:jc w:val="both"/>
        <w:rPr>
          <w:sz w:val="20"/>
          <w:szCs w:val="20"/>
        </w:rPr>
      </w:pPr>
      <w:r>
        <w:rPr>
          <w:sz w:val="20"/>
          <w:szCs w:val="20"/>
        </w:rPr>
        <w:t xml:space="preserve">             Bardzo prosimy, aby nasze stanowisko zostało przez Państwa uwzględnione i rozpatrzone pozytywnie, czego efektem będzie zwiększenie kwoty kontraktów na nadchodzący rok.</w:t>
      </w:r>
    </w:p>
    <w:p w:rsidR="00CA22A5" w:rsidRDefault="00CA22A5" w:rsidP="003D4029">
      <w:pPr>
        <w:keepNext/>
        <w:spacing w:after="0" w:line="260" w:lineRule="exact"/>
        <w:jc w:val="both"/>
      </w:pPr>
    </w:p>
    <w:p w:rsidR="00CA22A5" w:rsidRDefault="00CA22A5" w:rsidP="003D4029">
      <w:pPr>
        <w:spacing w:after="0" w:line="260" w:lineRule="exact"/>
        <w:jc w:val="both"/>
      </w:pPr>
    </w:p>
    <w:p w:rsidR="00CA22A5" w:rsidRDefault="00CA22A5" w:rsidP="003D4029">
      <w:pPr>
        <w:spacing w:after="0" w:line="260" w:lineRule="exact"/>
        <w:outlineLvl w:val="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B0378">
        <w:rPr>
          <w:sz w:val="20"/>
          <w:szCs w:val="20"/>
        </w:rPr>
        <w:t>Z wyrazami szacunku</w:t>
      </w:r>
    </w:p>
    <w:p w:rsidR="00CA22A5" w:rsidRDefault="00CA22A5" w:rsidP="003D4029">
      <w:pPr>
        <w:spacing w:line="260" w:lineRule="exact"/>
        <w:ind w:left="3969"/>
        <w:outlineLvl w:val="0"/>
        <w:rPr>
          <w:i/>
          <w:iCs/>
          <w:sz w:val="20"/>
          <w:szCs w:val="20"/>
        </w:rPr>
      </w:pPr>
      <w:r w:rsidRPr="00C60D78">
        <w:rPr>
          <w:i/>
          <w:iCs/>
          <w:sz w:val="20"/>
          <w:szCs w:val="20"/>
        </w:rPr>
        <w:t>Członkowie Konsorcjum Dolnośląskich Szpitali Powiatowych</w:t>
      </w:r>
    </w:p>
    <w:p w:rsidR="00CA22A5" w:rsidRDefault="00CA22A5" w:rsidP="003D4029">
      <w:pPr>
        <w:spacing w:line="260" w:lineRule="exact"/>
        <w:ind w:left="3969"/>
        <w:outlineLvl w:val="0"/>
        <w:rPr>
          <w:i/>
          <w:iCs/>
          <w:sz w:val="20"/>
          <w:szCs w:val="20"/>
        </w:rPr>
      </w:pPr>
    </w:p>
    <w:p w:rsidR="00CA22A5" w:rsidRDefault="00CA22A5" w:rsidP="003D4029">
      <w:pPr>
        <w:spacing w:line="260" w:lineRule="exact"/>
        <w:ind w:left="180"/>
        <w:jc w:val="both"/>
        <w:outlineLvl w:val="0"/>
        <w:rPr>
          <w:b/>
          <w:bCs/>
          <w:sz w:val="20"/>
          <w:szCs w:val="20"/>
        </w:rPr>
      </w:pPr>
      <w:r>
        <w:rPr>
          <w:b/>
          <w:bCs/>
          <w:sz w:val="20"/>
          <w:szCs w:val="20"/>
        </w:rPr>
        <w:t>Załączniki:</w:t>
      </w:r>
    </w:p>
    <w:p w:rsidR="00CA22A5" w:rsidRDefault="00CA22A5" w:rsidP="003D4029">
      <w:pPr>
        <w:spacing w:line="260" w:lineRule="exact"/>
        <w:ind w:left="3969"/>
        <w:jc w:val="both"/>
        <w:outlineLvl w:val="0"/>
        <w:rPr>
          <w:b/>
          <w:bCs/>
          <w:sz w:val="20"/>
          <w:szCs w:val="20"/>
        </w:rPr>
      </w:pPr>
    </w:p>
    <w:p w:rsidR="00CA22A5" w:rsidRPr="008A38BA" w:rsidRDefault="00CA22A5" w:rsidP="003D4029">
      <w:pPr>
        <w:spacing w:line="260" w:lineRule="exact"/>
        <w:ind w:left="180"/>
        <w:jc w:val="both"/>
        <w:outlineLvl w:val="0"/>
        <w:rPr>
          <w:b/>
          <w:bCs/>
          <w:sz w:val="20"/>
          <w:szCs w:val="20"/>
        </w:rPr>
      </w:pPr>
      <w:r>
        <w:rPr>
          <w:b/>
          <w:bCs/>
          <w:sz w:val="20"/>
          <w:szCs w:val="20"/>
        </w:rPr>
        <w:t xml:space="preserve">1. Stanowisko Konwentu Powiatów Województwa Dolnośląskiego w sprawie kontraktowania świadczeń medycznych w 2011 roku i finansowania nadwykonań za 2010 rok.  </w:t>
      </w:r>
    </w:p>
    <w:p w:rsidR="00CA22A5" w:rsidRDefault="00CA22A5" w:rsidP="003D4029">
      <w:pPr>
        <w:spacing w:line="260" w:lineRule="exact"/>
        <w:ind w:left="3969"/>
        <w:outlineLvl w:val="0"/>
        <w:rPr>
          <w:i/>
          <w:iCs/>
          <w:sz w:val="20"/>
          <w:szCs w:val="20"/>
        </w:rPr>
      </w:pPr>
    </w:p>
    <w:p w:rsidR="00CA22A5" w:rsidRDefault="00CA22A5" w:rsidP="008F631A">
      <w:pPr>
        <w:jc w:val="both"/>
      </w:pPr>
      <w:r>
        <w:t xml:space="preserve">Konsorcjum Dolnośląskich Szpitali Powiatowych jest organizacją zrzeszającą szpitale powiatowe </w:t>
      </w:r>
      <w:r>
        <w:br/>
        <w:t xml:space="preserve">z rejonu Dolnego Śląska. Głównym celem Konsorcjum jest wzmacnianie pozycji szpitali będących </w:t>
      </w:r>
      <w:r>
        <w:br/>
        <w:t xml:space="preserve">jego członkami i udzielanie im wsparcia, a także zajmowanie stanowisk we wszelkich </w:t>
      </w:r>
      <w:r>
        <w:br/>
        <w:t xml:space="preserve">sprawach związanych z ich statutową działalnością, w szczególności w ich relacjach z organami władzy i administracji rządowej i samorządowej i innymi instytucjami, których działania oraz współpraca z nimi, może mieć wpływ na wykonywanie zadań statutowych członków Konsorcjum. </w:t>
      </w:r>
    </w:p>
    <w:p w:rsidR="00CA22A5" w:rsidRDefault="00CA22A5" w:rsidP="008F631A">
      <w:pPr>
        <w:spacing w:line="260" w:lineRule="exact"/>
        <w:ind w:left="180"/>
        <w:outlineLvl w:val="0"/>
        <w:rPr>
          <w:i/>
          <w:iCs/>
          <w:sz w:val="20"/>
          <w:szCs w:val="20"/>
        </w:rPr>
      </w:pPr>
    </w:p>
    <w:p w:rsidR="00CA22A5" w:rsidRPr="00C60D78" w:rsidRDefault="00CA22A5" w:rsidP="003D4029">
      <w:pPr>
        <w:spacing w:after="0" w:line="260" w:lineRule="exact"/>
        <w:ind w:left="3969"/>
        <w:outlineLvl w:val="0"/>
        <w:rPr>
          <w:i/>
          <w:iCs/>
          <w:sz w:val="20"/>
          <w:szCs w:val="20"/>
        </w:rPr>
      </w:pPr>
    </w:p>
    <w:p w:rsidR="00CA22A5" w:rsidRDefault="00CA22A5" w:rsidP="003D4029">
      <w:pPr>
        <w:rPr>
          <w:sz w:val="20"/>
          <w:szCs w:val="20"/>
        </w:rPr>
      </w:pPr>
    </w:p>
    <w:p w:rsidR="00CA22A5" w:rsidRDefault="00CA22A5" w:rsidP="003D4029">
      <w:pPr>
        <w:rPr>
          <w:sz w:val="20"/>
          <w:szCs w:val="20"/>
        </w:rPr>
      </w:pPr>
    </w:p>
    <w:p w:rsidR="00CA22A5" w:rsidRDefault="00CA22A5" w:rsidP="003D4029">
      <w:pPr>
        <w:rPr>
          <w:sz w:val="20"/>
          <w:szCs w:val="20"/>
        </w:rPr>
      </w:pPr>
    </w:p>
    <w:p w:rsidR="00CA22A5" w:rsidRDefault="00CA22A5" w:rsidP="003D4029">
      <w:pPr>
        <w:rPr>
          <w:sz w:val="20"/>
          <w:szCs w:val="20"/>
        </w:rPr>
      </w:pPr>
    </w:p>
    <w:p w:rsidR="00CA22A5" w:rsidRDefault="00CA22A5" w:rsidP="003D4029">
      <w:pPr>
        <w:rPr>
          <w:sz w:val="16"/>
          <w:szCs w:val="16"/>
        </w:rPr>
      </w:pPr>
    </w:p>
    <w:p w:rsidR="00CA22A5" w:rsidRDefault="00CA22A5" w:rsidP="003D4029">
      <w:pPr>
        <w:rPr>
          <w:sz w:val="16"/>
          <w:szCs w:val="16"/>
        </w:rPr>
      </w:pPr>
    </w:p>
    <w:p w:rsidR="00CA22A5" w:rsidRDefault="00CA22A5" w:rsidP="003D4029">
      <w:pPr>
        <w:rPr>
          <w:sz w:val="16"/>
          <w:szCs w:val="16"/>
        </w:rPr>
      </w:pPr>
    </w:p>
    <w:p w:rsidR="00CA22A5" w:rsidRDefault="00CA22A5" w:rsidP="003D4029">
      <w:pPr>
        <w:rPr>
          <w:sz w:val="16"/>
          <w:szCs w:val="16"/>
        </w:rPr>
      </w:pPr>
    </w:p>
    <w:p w:rsidR="00CA22A5" w:rsidRDefault="00CA22A5" w:rsidP="003D4029">
      <w:pPr>
        <w:rPr>
          <w:sz w:val="16"/>
          <w:szCs w:val="16"/>
        </w:rPr>
      </w:pPr>
    </w:p>
    <w:p w:rsidR="00CA22A5" w:rsidRDefault="00CA22A5" w:rsidP="003D4029">
      <w:pPr>
        <w:rPr>
          <w:sz w:val="16"/>
          <w:szCs w:val="16"/>
        </w:rPr>
      </w:pPr>
    </w:p>
    <w:p w:rsidR="00CA22A5" w:rsidRDefault="00CA22A5" w:rsidP="003D4029">
      <w:pPr>
        <w:rPr>
          <w:sz w:val="16"/>
          <w:szCs w:val="16"/>
        </w:rPr>
      </w:pPr>
    </w:p>
    <w:p w:rsidR="00CA22A5" w:rsidRDefault="00CA22A5" w:rsidP="003D4029">
      <w:pPr>
        <w:rPr>
          <w:sz w:val="16"/>
          <w:szCs w:val="16"/>
        </w:rPr>
      </w:pPr>
    </w:p>
    <w:p w:rsidR="00CA22A5" w:rsidRDefault="00CA22A5" w:rsidP="003D4029">
      <w:pPr>
        <w:rPr>
          <w:sz w:val="16"/>
          <w:szCs w:val="16"/>
        </w:rPr>
      </w:pPr>
    </w:p>
    <w:p w:rsidR="00CA22A5" w:rsidRDefault="00CA22A5" w:rsidP="003D4029">
      <w:pPr>
        <w:rPr>
          <w:sz w:val="16"/>
          <w:szCs w:val="16"/>
        </w:rPr>
      </w:pPr>
    </w:p>
    <w:p w:rsidR="00CA22A5" w:rsidRDefault="00CA22A5" w:rsidP="003D4029">
      <w:pPr>
        <w:rPr>
          <w:sz w:val="16"/>
          <w:szCs w:val="16"/>
        </w:rPr>
      </w:pPr>
    </w:p>
    <w:p w:rsidR="00CA22A5" w:rsidRDefault="00CA22A5" w:rsidP="003D4029">
      <w:pPr>
        <w:rPr>
          <w:sz w:val="16"/>
          <w:szCs w:val="16"/>
        </w:rPr>
      </w:pPr>
    </w:p>
    <w:p w:rsidR="00CA22A5" w:rsidRDefault="00CA22A5" w:rsidP="003D4029">
      <w:pPr>
        <w:jc w:val="both"/>
      </w:pPr>
      <w:r>
        <w:t xml:space="preserve">  </w:t>
      </w:r>
    </w:p>
    <w:p w:rsidR="00CA22A5" w:rsidRDefault="00CA22A5"/>
    <w:sectPr w:rsidR="00CA22A5" w:rsidSect="00190CE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2A5" w:rsidRDefault="00CA22A5" w:rsidP="00694246">
      <w:pPr>
        <w:spacing w:after="0" w:line="240" w:lineRule="auto"/>
      </w:pPr>
      <w:r>
        <w:separator/>
      </w:r>
    </w:p>
  </w:endnote>
  <w:endnote w:type="continuationSeparator" w:id="0">
    <w:p w:rsidR="00CA22A5" w:rsidRDefault="00CA22A5" w:rsidP="00694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A5" w:rsidRPr="00694246" w:rsidRDefault="00CA22A5" w:rsidP="00694246">
    <w:pPr>
      <w:pStyle w:val="Footer"/>
      <w:jc w:val="both"/>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50" type="#_x0000_t75" alt="stopka.jpg" style="position:absolute;left:0;text-align:left;margin-left:-71.6pt;margin-top:-24.3pt;width:138.75pt;height:74.25pt;z-index:-251659264;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2A5" w:rsidRDefault="00CA22A5" w:rsidP="00694246">
      <w:pPr>
        <w:spacing w:after="0" w:line="240" w:lineRule="auto"/>
      </w:pPr>
      <w:r>
        <w:separator/>
      </w:r>
    </w:p>
  </w:footnote>
  <w:footnote w:type="continuationSeparator" w:id="0">
    <w:p w:rsidR="00CA22A5" w:rsidRDefault="00CA22A5" w:rsidP="006942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2A5" w:rsidRDefault="00CA22A5" w:rsidP="00694246">
    <w:pPr>
      <w:pStyle w:val="Header"/>
      <w:jc w:val="right"/>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2049" type="#_x0000_t75" alt="logo naglowek 3.jpg" style="position:absolute;left:0;text-align:left;margin-left:-43.1pt;margin-top:-6.8pt;width:537.75pt;height:80.9pt;z-index:-251658240;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55FF0"/>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2">
    <w:abstractNumId w:val="0"/>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
    <w:abstractNumId w:val="0"/>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246"/>
    <w:rsid w:val="00095E8F"/>
    <w:rsid w:val="00190CEE"/>
    <w:rsid w:val="001C4B45"/>
    <w:rsid w:val="001E6DE8"/>
    <w:rsid w:val="00203701"/>
    <w:rsid w:val="00204824"/>
    <w:rsid w:val="002318E4"/>
    <w:rsid w:val="00306ABA"/>
    <w:rsid w:val="003909C9"/>
    <w:rsid w:val="003A53E0"/>
    <w:rsid w:val="003D4029"/>
    <w:rsid w:val="004746C5"/>
    <w:rsid w:val="004B0E38"/>
    <w:rsid w:val="004B2E72"/>
    <w:rsid w:val="004C303C"/>
    <w:rsid w:val="00547C71"/>
    <w:rsid w:val="00557858"/>
    <w:rsid w:val="00561631"/>
    <w:rsid w:val="0056714F"/>
    <w:rsid w:val="00665D1F"/>
    <w:rsid w:val="00694246"/>
    <w:rsid w:val="00695F43"/>
    <w:rsid w:val="006D5347"/>
    <w:rsid w:val="00730127"/>
    <w:rsid w:val="007B0378"/>
    <w:rsid w:val="007F4BF2"/>
    <w:rsid w:val="00890C47"/>
    <w:rsid w:val="008A38BA"/>
    <w:rsid w:val="008F631A"/>
    <w:rsid w:val="009135F1"/>
    <w:rsid w:val="009149F9"/>
    <w:rsid w:val="009A7127"/>
    <w:rsid w:val="009B6AD4"/>
    <w:rsid w:val="009C1F9F"/>
    <w:rsid w:val="00A72331"/>
    <w:rsid w:val="00B601CE"/>
    <w:rsid w:val="00B672F0"/>
    <w:rsid w:val="00BC49BA"/>
    <w:rsid w:val="00BC7701"/>
    <w:rsid w:val="00BF4C0B"/>
    <w:rsid w:val="00C60D78"/>
    <w:rsid w:val="00CA22A5"/>
    <w:rsid w:val="00CC6C3D"/>
    <w:rsid w:val="00D2090F"/>
    <w:rsid w:val="00DC23BF"/>
    <w:rsid w:val="00DF00D9"/>
    <w:rsid w:val="00F65719"/>
    <w:rsid w:val="00FC3B23"/>
    <w:rsid w:val="00FF608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CE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9424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694246"/>
  </w:style>
  <w:style w:type="paragraph" w:styleId="Footer">
    <w:name w:val="footer"/>
    <w:basedOn w:val="Normal"/>
    <w:link w:val="FooterChar"/>
    <w:uiPriority w:val="99"/>
    <w:semiHidden/>
    <w:rsid w:val="0069424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694246"/>
  </w:style>
  <w:style w:type="paragraph" w:styleId="BalloonText">
    <w:name w:val="Balloon Text"/>
    <w:basedOn w:val="Normal"/>
    <w:link w:val="BalloonTextChar"/>
    <w:uiPriority w:val="99"/>
    <w:semiHidden/>
    <w:rsid w:val="00694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4246"/>
    <w:rPr>
      <w:rFonts w:ascii="Tahoma" w:hAnsi="Tahoma" w:cs="Tahoma"/>
      <w:sz w:val="16"/>
      <w:szCs w:val="16"/>
    </w:rPr>
  </w:style>
  <w:style w:type="character" w:styleId="Hyperlink">
    <w:name w:val="Hyperlink"/>
    <w:basedOn w:val="DefaultParagraphFont"/>
    <w:uiPriority w:val="99"/>
    <w:rsid w:val="00095E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682</Words>
  <Characters>4098</Characters>
  <Application>Microsoft Office Outlook</Application>
  <DocSecurity>0</DocSecurity>
  <Lines>0</Lines>
  <Paragraphs>0</Paragraphs>
  <ScaleCrop>false</ScaleCrop>
  <Company>Headlines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prasowa                                                      Warszawa, dn</dc:title>
  <dc:subject/>
  <dc:creator>Anna</dc:creator>
  <cp:keywords/>
  <dc:description/>
  <cp:lastModifiedBy>Ewelina Nazarko</cp:lastModifiedBy>
  <cp:revision>2</cp:revision>
  <cp:lastPrinted>2011-05-18T13:44:00Z</cp:lastPrinted>
  <dcterms:created xsi:type="dcterms:W3CDTF">2011-10-12T11:42:00Z</dcterms:created>
  <dcterms:modified xsi:type="dcterms:W3CDTF">2011-10-12T11:42:00Z</dcterms:modified>
</cp:coreProperties>
</file>